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0E2" w:rsidRPr="000624F6" w:rsidRDefault="008B669A" w:rsidP="000624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24F6">
        <w:rPr>
          <w:rFonts w:ascii="Times New Roman" w:hAnsi="Times New Roman" w:cs="Times New Roman"/>
          <w:b/>
          <w:sz w:val="24"/>
          <w:szCs w:val="24"/>
        </w:rPr>
        <w:t>Название</w:t>
      </w:r>
      <w:r w:rsidRPr="000624F6">
        <w:rPr>
          <w:rFonts w:ascii="Times New Roman" w:hAnsi="Times New Roman" w:cs="Times New Roman"/>
          <w:sz w:val="24"/>
          <w:szCs w:val="24"/>
        </w:rPr>
        <w:t>: Стереотаксическая радиотерапия метастазов рака молочной железы в печени.</w:t>
      </w:r>
    </w:p>
    <w:p w:rsidR="008B669A" w:rsidRPr="000624F6" w:rsidRDefault="008B669A" w:rsidP="000624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24F6">
        <w:rPr>
          <w:rFonts w:ascii="Times New Roman" w:hAnsi="Times New Roman" w:cs="Times New Roman"/>
          <w:b/>
          <w:sz w:val="24"/>
          <w:szCs w:val="24"/>
        </w:rPr>
        <w:t>Название сессии</w:t>
      </w:r>
      <w:r w:rsidRPr="000624F6">
        <w:rPr>
          <w:rFonts w:ascii="Times New Roman" w:hAnsi="Times New Roman" w:cs="Times New Roman"/>
          <w:sz w:val="24"/>
          <w:szCs w:val="24"/>
        </w:rPr>
        <w:t>: Фундаментальные и экспериментальные исследования рака молочной железы.</w:t>
      </w:r>
    </w:p>
    <w:p w:rsidR="008B669A" w:rsidRPr="000624F6" w:rsidRDefault="008B669A" w:rsidP="000624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24F6">
        <w:rPr>
          <w:rFonts w:ascii="Times New Roman" w:hAnsi="Times New Roman" w:cs="Times New Roman"/>
          <w:b/>
          <w:sz w:val="24"/>
          <w:szCs w:val="24"/>
        </w:rPr>
        <w:t>ФИО автора</w:t>
      </w:r>
      <w:r w:rsidRPr="000624F6">
        <w:rPr>
          <w:rFonts w:ascii="Times New Roman" w:hAnsi="Times New Roman" w:cs="Times New Roman"/>
          <w:sz w:val="24"/>
          <w:szCs w:val="24"/>
        </w:rPr>
        <w:t>: Романов Денис Сергеевич.</w:t>
      </w:r>
    </w:p>
    <w:p w:rsidR="008B669A" w:rsidRPr="000624F6" w:rsidRDefault="008B669A" w:rsidP="000624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24F6">
        <w:rPr>
          <w:rFonts w:ascii="Times New Roman" w:hAnsi="Times New Roman" w:cs="Times New Roman"/>
          <w:b/>
          <w:sz w:val="24"/>
          <w:szCs w:val="24"/>
        </w:rPr>
        <w:t>Страна, город</w:t>
      </w:r>
      <w:r w:rsidRPr="000624F6">
        <w:rPr>
          <w:rFonts w:ascii="Times New Roman" w:hAnsi="Times New Roman" w:cs="Times New Roman"/>
          <w:sz w:val="24"/>
          <w:szCs w:val="24"/>
        </w:rPr>
        <w:t>: Российская Федерация, г. Москва.</w:t>
      </w:r>
    </w:p>
    <w:p w:rsidR="008B669A" w:rsidRPr="000624F6" w:rsidRDefault="008B669A" w:rsidP="000624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24F6">
        <w:rPr>
          <w:rFonts w:ascii="Times New Roman" w:hAnsi="Times New Roman" w:cs="Times New Roman"/>
          <w:b/>
          <w:sz w:val="24"/>
          <w:szCs w:val="24"/>
        </w:rPr>
        <w:t>Учреждение</w:t>
      </w:r>
      <w:r w:rsidRPr="000624F6">
        <w:rPr>
          <w:rFonts w:ascii="Times New Roman" w:hAnsi="Times New Roman" w:cs="Times New Roman"/>
          <w:sz w:val="24"/>
          <w:szCs w:val="24"/>
        </w:rPr>
        <w:t>: 1. ФГБУ «НМИЦ онкологии им. Н.Н. Блохина» МЗ РФ. 2. ООО «Центр инновационных медицинских технологий».</w:t>
      </w:r>
    </w:p>
    <w:p w:rsidR="00115FA3" w:rsidRPr="000624F6" w:rsidRDefault="00115FA3" w:rsidP="000624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24F6">
        <w:rPr>
          <w:rFonts w:ascii="Times New Roman" w:hAnsi="Times New Roman" w:cs="Times New Roman"/>
          <w:b/>
          <w:sz w:val="24"/>
          <w:szCs w:val="24"/>
        </w:rPr>
        <w:t xml:space="preserve">Контактный </w:t>
      </w:r>
      <w:r w:rsidRPr="000624F6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0624F6">
        <w:rPr>
          <w:rFonts w:ascii="Times New Roman" w:hAnsi="Times New Roman" w:cs="Times New Roman"/>
          <w:b/>
          <w:sz w:val="24"/>
          <w:szCs w:val="24"/>
        </w:rPr>
        <w:t>-</w:t>
      </w:r>
      <w:r w:rsidRPr="000624F6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0624F6">
        <w:rPr>
          <w:rFonts w:ascii="Times New Roman" w:hAnsi="Times New Roman" w:cs="Times New Roman"/>
          <w:sz w:val="24"/>
          <w:szCs w:val="24"/>
        </w:rPr>
        <w:t xml:space="preserve">: </w:t>
      </w:r>
      <w:hyperlink r:id="rId4" w:history="1">
        <w:r w:rsidRPr="000624F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romanovronc</w:t>
        </w:r>
        <w:r w:rsidRPr="000624F6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0624F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0624F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0624F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</w:p>
    <w:p w:rsidR="00115FA3" w:rsidRPr="000624F6" w:rsidRDefault="00115FA3" w:rsidP="000624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24F6">
        <w:rPr>
          <w:rFonts w:ascii="Times New Roman" w:hAnsi="Times New Roman" w:cs="Times New Roman"/>
          <w:b/>
          <w:sz w:val="24"/>
          <w:szCs w:val="24"/>
        </w:rPr>
        <w:t>Контактный телефон</w:t>
      </w:r>
      <w:r w:rsidRPr="000624F6">
        <w:rPr>
          <w:rFonts w:ascii="Times New Roman" w:hAnsi="Times New Roman" w:cs="Times New Roman"/>
          <w:sz w:val="24"/>
          <w:szCs w:val="24"/>
        </w:rPr>
        <w:t>: +7(962)919-03-22</w:t>
      </w:r>
    </w:p>
    <w:p w:rsidR="00115FA3" w:rsidRPr="000624F6" w:rsidRDefault="00115FA3" w:rsidP="000624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4F6">
        <w:rPr>
          <w:rFonts w:ascii="Times New Roman" w:hAnsi="Times New Roman" w:cs="Times New Roman"/>
          <w:b/>
          <w:sz w:val="24"/>
          <w:szCs w:val="24"/>
        </w:rPr>
        <w:t>Введение</w:t>
      </w:r>
      <w:r w:rsidRPr="000624F6">
        <w:rPr>
          <w:rFonts w:ascii="Times New Roman" w:hAnsi="Times New Roman" w:cs="Times New Roman"/>
          <w:sz w:val="24"/>
          <w:szCs w:val="24"/>
        </w:rPr>
        <w:t>: Стереотаксическая радиотерапия</w:t>
      </w:r>
      <w:r w:rsidR="00016E23" w:rsidRPr="000624F6">
        <w:rPr>
          <w:rFonts w:ascii="Times New Roman" w:hAnsi="Times New Roman" w:cs="Times New Roman"/>
          <w:sz w:val="24"/>
          <w:szCs w:val="24"/>
        </w:rPr>
        <w:t xml:space="preserve"> (СРТ)</w:t>
      </w:r>
      <w:r w:rsidRPr="000624F6">
        <w:rPr>
          <w:rFonts w:ascii="Times New Roman" w:hAnsi="Times New Roman" w:cs="Times New Roman"/>
          <w:sz w:val="24"/>
          <w:szCs w:val="24"/>
        </w:rPr>
        <w:t xml:space="preserve"> </w:t>
      </w:r>
      <w:r w:rsidRPr="000624F6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Pr="000624F6">
        <w:rPr>
          <w:rFonts w:ascii="Times New Roman" w:hAnsi="Times New Roman" w:cs="Times New Roman"/>
          <w:sz w:val="24"/>
          <w:szCs w:val="24"/>
        </w:rPr>
        <w:t xml:space="preserve">является одной из доступных онкологам методик локального воздействия на опухолевые образования. Всё более широкое применение данная методика приобретает в комплексном лечении </w:t>
      </w:r>
      <w:proofErr w:type="spellStart"/>
      <w:r w:rsidRPr="000624F6">
        <w:rPr>
          <w:rFonts w:ascii="Times New Roman" w:hAnsi="Times New Roman" w:cs="Times New Roman"/>
          <w:sz w:val="24"/>
          <w:szCs w:val="24"/>
        </w:rPr>
        <w:t>олигометастатических</w:t>
      </w:r>
      <w:proofErr w:type="spellEnd"/>
      <w:r w:rsidRPr="000624F6">
        <w:rPr>
          <w:rFonts w:ascii="Times New Roman" w:hAnsi="Times New Roman" w:cs="Times New Roman"/>
          <w:sz w:val="24"/>
          <w:szCs w:val="24"/>
        </w:rPr>
        <w:t xml:space="preserve"> болезней и при </w:t>
      </w:r>
      <w:proofErr w:type="spellStart"/>
      <w:r w:rsidRPr="000624F6">
        <w:rPr>
          <w:rFonts w:ascii="Times New Roman" w:hAnsi="Times New Roman" w:cs="Times New Roman"/>
          <w:sz w:val="24"/>
          <w:szCs w:val="24"/>
        </w:rPr>
        <w:t>олигопрогрессировании</w:t>
      </w:r>
      <w:proofErr w:type="spellEnd"/>
      <w:r w:rsidRPr="000624F6">
        <w:rPr>
          <w:rFonts w:ascii="Times New Roman" w:hAnsi="Times New Roman" w:cs="Times New Roman"/>
          <w:sz w:val="24"/>
          <w:szCs w:val="24"/>
        </w:rPr>
        <w:t>. В то же время, диссеминированный рак молочной железы – болезнь, при которой вы</w:t>
      </w:r>
      <w:bookmarkStart w:id="0" w:name="_GoBack"/>
      <w:bookmarkEnd w:id="0"/>
      <w:r w:rsidRPr="000624F6">
        <w:rPr>
          <w:rFonts w:ascii="Times New Roman" w:hAnsi="Times New Roman" w:cs="Times New Roman"/>
          <w:sz w:val="24"/>
          <w:szCs w:val="24"/>
        </w:rPr>
        <w:t xml:space="preserve">сокие показатели продолжительности жизни достижимы лишь при проведении эффективной лекарственной противоопухолевой терапии, </w:t>
      </w:r>
      <w:r w:rsidR="00016E23" w:rsidRPr="000624F6">
        <w:rPr>
          <w:rFonts w:ascii="Times New Roman" w:hAnsi="Times New Roman" w:cs="Times New Roman"/>
          <w:sz w:val="24"/>
          <w:szCs w:val="24"/>
        </w:rPr>
        <w:t>а</w:t>
      </w:r>
      <w:r w:rsidRPr="000624F6">
        <w:rPr>
          <w:rFonts w:ascii="Times New Roman" w:hAnsi="Times New Roman" w:cs="Times New Roman"/>
          <w:sz w:val="24"/>
          <w:szCs w:val="24"/>
        </w:rPr>
        <w:t xml:space="preserve"> роль локальных методов лечения остаётся </w:t>
      </w:r>
      <w:proofErr w:type="spellStart"/>
      <w:r w:rsidRPr="000624F6">
        <w:rPr>
          <w:rFonts w:ascii="Times New Roman" w:hAnsi="Times New Roman" w:cs="Times New Roman"/>
          <w:sz w:val="24"/>
          <w:szCs w:val="24"/>
        </w:rPr>
        <w:t>дискутабельной</w:t>
      </w:r>
      <w:proofErr w:type="spellEnd"/>
      <w:r w:rsidRPr="000624F6">
        <w:rPr>
          <w:rFonts w:ascii="Times New Roman" w:hAnsi="Times New Roman" w:cs="Times New Roman"/>
          <w:sz w:val="24"/>
          <w:szCs w:val="24"/>
        </w:rPr>
        <w:t xml:space="preserve">. Целью нашего исследования была оценка показателей локального контроля и переносимости </w:t>
      </w:r>
      <w:r w:rsidR="00016E23" w:rsidRPr="000624F6">
        <w:rPr>
          <w:rFonts w:ascii="Times New Roman" w:hAnsi="Times New Roman" w:cs="Times New Roman"/>
          <w:sz w:val="24"/>
          <w:szCs w:val="24"/>
        </w:rPr>
        <w:t>СРТ</w:t>
      </w:r>
      <w:r w:rsidRPr="000624F6">
        <w:rPr>
          <w:rFonts w:ascii="Times New Roman" w:hAnsi="Times New Roman" w:cs="Times New Roman"/>
          <w:sz w:val="24"/>
          <w:szCs w:val="24"/>
        </w:rPr>
        <w:t xml:space="preserve"> метастазов рака молочной железы в печени.</w:t>
      </w:r>
    </w:p>
    <w:p w:rsidR="00115FA3" w:rsidRPr="000624F6" w:rsidRDefault="00115FA3" w:rsidP="000624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4F6">
        <w:rPr>
          <w:rFonts w:ascii="Times New Roman" w:hAnsi="Times New Roman" w:cs="Times New Roman"/>
          <w:b/>
          <w:sz w:val="24"/>
          <w:szCs w:val="24"/>
        </w:rPr>
        <w:t>Материалы и методы</w:t>
      </w:r>
      <w:r w:rsidRPr="000624F6">
        <w:rPr>
          <w:rFonts w:ascii="Times New Roman" w:hAnsi="Times New Roman" w:cs="Times New Roman"/>
          <w:sz w:val="24"/>
          <w:szCs w:val="24"/>
        </w:rPr>
        <w:t xml:space="preserve">: В исследование были включены 25 женщин с диагнозом «рак молочной железы». </w:t>
      </w:r>
      <w:r w:rsidR="00016E23" w:rsidRPr="000624F6">
        <w:rPr>
          <w:rFonts w:ascii="Times New Roman" w:hAnsi="Times New Roman" w:cs="Times New Roman"/>
          <w:sz w:val="24"/>
          <w:szCs w:val="24"/>
        </w:rPr>
        <w:t xml:space="preserve">Медиана возраста составила 53 года (43-70). 80% больных имели </w:t>
      </w:r>
      <w:proofErr w:type="spellStart"/>
      <w:r w:rsidR="00016E23" w:rsidRPr="000624F6">
        <w:rPr>
          <w:rFonts w:ascii="Times New Roman" w:hAnsi="Times New Roman" w:cs="Times New Roman"/>
          <w:sz w:val="24"/>
          <w:szCs w:val="24"/>
        </w:rPr>
        <w:t>люминальный</w:t>
      </w:r>
      <w:proofErr w:type="spellEnd"/>
      <w:r w:rsidR="00016E23" w:rsidRPr="000624F6">
        <w:rPr>
          <w:rFonts w:ascii="Times New Roman" w:hAnsi="Times New Roman" w:cs="Times New Roman"/>
          <w:sz w:val="24"/>
          <w:szCs w:val="24"/>
        </w:rPr>
        <w:t xml:space="preserve"> подтип, из них 35% – А, а у 10% была зафиксирована резистентность к исходно эффективной гормональной терапии. 36% больных имели </w:t>
      </w:r>
      <w:r w:rsidR="00016E23" w:rsidRPr="000624F6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="00016E23" w:rsidRPr="000624F6">
        <w:rPr>
          <w:rFonts w:ascii="Times New Roman" w:hAnsi="Times New Roman" w:cs="Times New Roman"/>
          <w:sz w:val="24"/>
          <w:szCs w:val="24"/>
        </w:rPr>
        <w:t xml:space="preserve">/2-положительный подтип, 12% имели тройной негативный подтип. У 32% СРТ были подвергнуты </w:t>
      </w:r>
      <w:r w:rsidR="00297E02" w:rsidRPr="000624F6">
        <w:rPr>
          <w:rFonts w:ascii="Times New Roman" w:hAnsi="Times New Roman" w:cs="Times New Roman"/>
          <w:sz w:val="24"/>
          <w:szCs w:val="24"/>
        </w:rPr>
        <w:t>метастазы, частично регрессировавшие или стабильные на фоне проводимой системной терапии, у 68% – растущие или впервые выявленные. У 72% пациенток СРТ был подвергнут 1 метастаз, у 20% – 2-3, у 8% – 4 и более.</w:t>
      </w:r>
      <w:r w:rsidR="00DF5AEC" w:rsidRPr="000624F6">
        <w:rPr>
          <w:rFonts w:ascii="Times New Roman" w:hAnsi="Times New Roman" w:cs="Times New Roman"/>
          <w:sz w:val="24"/>
          <w:szCs w:val="24"/>
        </w:rPr>
        <w:t xml:space="preserve"> Медиана размера метастазов – 18 мм (3-92). Курс СРТ был выполнен за 3 сеанса за 3-9 дней, до суммарной очаговой дозы от 30 до 45 Гр. У 56% больных СРТ была проведена на фоне продолжающейся лекарственной противоопухолевой терапии.</w:t>
      </w:r>
    </w:p>
    <w:p w:rsidR="00DF5AEC" w:rsidRPr="000624F6" w:rsidRDefault="00DF5AEC" w:rsidP="000624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4F6">
        <w:rPr>
          <w:rFonts w:ascii="Times New Roman" w:hAnsi="Times New Roman" w:cs="Times New Roman"/>
          <w:b/>
          <w:sz w:val="24"/>
          <w:szCs w:val="24"/>
        </w:rPr>
        <w:t>Результаты</w:t>
      </w:r>
      <w:r w:rsidRPr="000624F6">
        <w:rPr>
          <w:rFonts w:ascii="Times New Roman" w:hAnsi="Times New Roman" w:cs="Times New Roman"/>
          <w:sz w:val="24"/>
          <w:szCs w:val="24"/>
        </w:rPr>
        <w:t xml:space="preserve">: </w:t>
      </w:r>
      <w:r w:rsidR="000747DA" w:rsidRPr="000624F6">
        <w:rPr>
          <w:rFonts w:ascii="Times New Roman" w:hAnsi="Times New Roman" w:cs="Times New Roman"/>
          <w:sz w:val="24"/>
          <w:szCs w:val="24"/>
        </w:rPr>
        <w:t xml:space="preserve">Всем пациенткам была проведена СРТ в запланированном объёме. У 36% из них лечение не вызвало развития жалоб, у остальных жалобы, наиболее частыми из которых были тошнота (36%) и боли (28%), не вели к прерыванию или приостановке лечения. У 96% результатом облучения метастазов в печени стали стабилизация, частичная или полная регрессия и лишь у одной – увеличение размеров очага, подвергнутого СРТ. На момент анализа живы 13 пациенток с медианой продолжительности наблюдения 16,9 </w:t>
      </w:r>
      <w:r w:rsidR="000747DA" w:rsidRPr="000624F6">
        <w:rPr>
          <w:rFonts w:ascii="Times New Roman" w:hAnsi="Times New Roman" w:cs="Times New Roman"/>
          <w:sz w:val="24"/>
          <w:szCs w:val="24"/>
        </w:rPr>
        <w:lastRenderedPageBreak/>
        <w:t>месяца (2,3-83,1), умерли 12 с медианой 18 месяцев (5,7-66,3). При построении графика с использованием метода Каплана-Майера медиана продолжительности жизни после СРТ метастазов в печени составила 40,1 месяца.</w:t>
      </w:r>
    </w:p>
    <w:p w:rsidR="000747DA" w:rsidRPr="000624F6" w:rsidRDefault="000624F6" w:rsidP="000624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4F6">
        <w:rPr>
          <w:rFonts w:ascii="Times New Roman" w:hAnsi="Times New Roman" w:cs="Times New Roman"/>
          <w:b/>
          <w:sz w:val="24"/>
          <w:szCs w:val="24"/>
        </w:rPr>
        <w:t>Выводы</w:t>
      </w:r>
      <w:r w:rsidRPr="000624F6">
        <w:rPr>
          <w:rFonts w:ascii="Times New Roman" w:hAnsi="Times New Roman" w:cs="Times New Roman"/>
          <w:sz w:val="24"/>
          <w:szCs w:val="24"/>
        </w:rPr>
        <w:t>: СРТ представляется высокоэффективным методом элиминации метастазов рака молочной железы в печени с невысокой токсичности и низким риском развития осложнений лечения. Поиск её места в комплексном лечении таких больных и определение групп пациентов, у которых высокие показатели локального контроля метастазов могут конвертироваться в высокие показатели продолжительности жизни требуют продолжения исследования с включением в него значимо большего числа пациентов.</w:t>
      </w:r>
    </w:p>
    <w:sectPr w:rsidR="000747DA" w:rsidRPr="00062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C9B"/>
    <w:rsid w:val="00016E23"/>
    <w:rsid w:val="000624F6"/>
    <w:rsid w:val="000747DA"/>
    <w:rsid w:val="00115FA3"/>
    <w:rsid w:val="00297E02"/>
    <w:rsid w:val="006B2C9B"/>
    <w:rsid w:val="008B669A"/>
    <w:rsid w:val="00D710E2"/>
    <w:rsid w:val="00DF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AA1A7"/>
  <w15:chartTrackingRefBased/>
  <w15:docId w15:val="{44C24C77-6D17-4BEB-BA9C-3D973F3D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5F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manovronc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2020-04-06T12:40:00Z</dcterms:created>
  <dcterms:modified xsi:type="dcterms:W3CDTF">2020-04-06T16:04:00Z</dcterms:modified>
</cp:coreProperties>
</file>